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6B" w:rsidRDefault="00011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TA’LIM MUASSASALARI PEDAGOGIK XODIMLARINING MALAKA TOIFASI UCHUN TEST TIZIMIGA MO‘LJALLANGAN DEFEKTOLOGIYA BO‘YICHA TEST </w:t>
      </w:r>
    </w:p>
    <w:p w:rsidR="00572E1A" w:rsidRDefault="00011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SPETSIFIKATSIYASI</w:t>
      </w:r>
    </w:p>
    <w:p w:rsidR="00572E1A" w:rsidRDefault="00572E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Ushbu test spetsifikatsiyasining maqsadi pedagogik kadrlarning defektologiya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bilim darajasini aniqlash uchun ishlatiladigan test savollarining tuzilishiga qo‘yiladigan talablarni belgilashdan iborat.</w:t>
      </w:r>
    </w:p>
    <w:p w:rsidR="00572E1A" w:rsidRPr="00DE0FB8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Ushbu hujjatga sinovlar natijasida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qo‘shimchalar, o‘zgartirishlar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tuzatishlar kiritilishi mumkin.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Pedagogik kadrlarning defektologiya </w:t>
      </w:r>
      <w:proofErr w:type="gramStart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gramEnd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 bilim darajasini kompyuter orqali onlayn tarzda savollarga javob berish shaklida baholash uchun testlar.</w:t>
      </w:r>
    </w:p>
    <w:p w:rsidR="00572E1A" w:rsidRPr="00DE0FB8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Pedagogik kadrlarning defektologiya fanidan bilim darajasini baholash uchun test topshiriqlari pedagogika oliy o‘quv yurtlarining defektologiya kursi materiallari asosida tuzilgan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bo‘lib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defektologiya fanining quyidagi bo‘limlarini qamrab oladi: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 Defektologiyaning predmeti, vazifalari, tamoyillari, asosiy kategoriyalari.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Rivojlanish normasi. Rivojlanish anomaliyalari.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Aqliy rivojlanishida nuqsoni bor bolalar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Nutqida nuqsoni bor bolalar.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Tayanch-harakat a’zolarining funksiyasi buzilgan bolalar.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Eshitishda nuqsoni bor bolalar.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Ко‘rishda nuqsoni bor bolalar.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 xml:space="preserve">. Hissiy-irodaviy soha </w:t>
      </w:r>
      <w:proofErr w:type="gramStart"/>
      <w:r w:rsidR="00011896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="00011896">
        <w:rPr>
          <w:rFonts w:ascii="Times New Roman" w:eastAsia="Times New Roman" w:hAnsi="Times New Roman" w:cs="Times New Roman"/>
          <w:sz w:val="28"/>
          <w:szCs w:val="28"/>
        </w:rPr>
        <w:t xml:space="preserve"> xulq-atvor buzilishi bo‘lgan bolalar.</w:t>
      </w:r>
    </w:p>
    <w:p w:rsidR="00572E1A" w:rsidRDefault="0011126B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>. Ruhiy rivojlanishi kechikkan bolalar.</w:t>
      </w:r>
    </w:p>
    <w:p w:rsidR="00FC629C" w:rsidRPr="00DE0FB8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Eslatma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Defektologiya fanining ushbu mazmun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bo‘limlari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amaldagi dastur va defektologiya fanining malaka talablari asosida umumlashtirilgan shaklda keltirilgan bo‘lib, kelajakda yanada aniqlashtirilib, pastki mavzularga bo‘linadi va kodifikatorda keltiriladi.</w:t>
      </w:r>
    </w:p>
    <w:p w:rsidR="00572E1A" w:rsidRPr="00FC629C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Pedagog-defektologning kompetensiyalarini baholash.</w:t>
      </w:r>
    </w:p>
    <w:p w:rsidR="00572E1A" w:rsidRPr="00FC629C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Pedagogik kadrlarning defektologiya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bilim darajasini test orqali baholashda quyidagi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ko‘nikmalar tekshiriladi: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Bilim;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Qo‘llash – Bilimni qo‘llash ko‘nikmasi;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Mulohaza yuritish – Tahlil qilish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ko‘nikmasi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E1A" w:rsidRDefault="00572E1A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Pr="00DE0FB8" w:rsidRDefault="00FC629C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="0011126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Pedagogik kadrlarning defektologiya </w:t>
      </w:r>
      <w:proofErr w:type="gramStart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gramEnd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 bilim darajasini baholash uchun attestatsiya testida quyidagi turdagi test topshiriqlaridan foydalanish mumkin: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Y1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javobni tanlash uchun to‘rtta variantli test.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Y2 – bir nechta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javoblarni tanlash uchun test.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Y3 – moslikni aniqlash uchun test.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Y4 – gap yoki jarayonlarni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ketma-ketlikda joylashtirishni talab qiladigan test.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Y5 –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”//“noto‘g‘ri” javobini talab qiladigan savol testi.</w:t>
      </w:r>
    </w:p>
    <w:p w:rsidR="00572E1A" w:rsidRDefault="00011896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Eslatma 2: </w:t>
      </w:r>
      <w:r w:rsidRPr="0011126B">
        <w:rPr>
          <w:rFonts w:ascii="Times New Roman" w:eastAsia="Times New Roman" w:hAnsi="Times New Roman" w:cs="Times New Roman"/>
          <w:i/>
          <w:sz w:val="28"/>
          <w:szCs w:val="28"/>
        </w:rPr>
        <w:t>Texnik nosozliklar tufayli ba’zi test turlari vaqtincha boshqalari bilan almashtirilishi mumkin.</w:t>
      </w:r>
    </w:p>
    <w:p w:rsidR="00572E1A" w:rsidRPr="00011896" w:rsidRDefault="00FC629C" w:rsidP="0011126B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11126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Pedagogik kadrlarning defektologiya </w:t>
      </w:r>
      <w:proofErr w:type="gramStart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gramEnd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 xml:space="preserve"> bilim darajasini aniqlash uchun attestatsiya testining spetsifikatsiyasi (formati):</w:t>
      </w:r>
    </w:p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63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"/>
        <w:gridCol w:w="2195"/>
        <w:gridCol w:w="993"/>
        <w:gridCol w:w="850"/>
        <w:gridCol w:w="992"/>
        <w:gridCol w:w="851"/>
        <w:gridCol w:w="1559"/>
        <w:gridCol w:w="1134"/>
        <w:gridCol w:w="992"/>
      </w:tblGrid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 talablar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11126B">
            <w:pPr>
              <w:spacing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Bo‘lim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11126B">
            <w:pPr>
              <w:spacing w:line="240" w:lineRule="auto"/>
              <w:ind w:left="-101"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26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Testlar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soni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11126B">
            <w:pPr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tartib raqami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11126B">
            <w:pPr>
              <w:spacing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turlari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26B" w:rsidRDefault="00011896" w:rsidP="0011126B">
            <w:pPr>
              <w:spacing w:line="240" w:lineRule="auto"/>
              <w:ind w:left="-93" w:righ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</w:t>
            </w:r>
          </w:p>
          <w:p w:rsidR="00572E1A" w:rsidRDefault="00011896" w:rsidP="0011126B">
            <w:pPr>
              <w:spacing w:line="240" w:lineRule="auto"/>
              <w:ind w:left="-93" w:righ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gan aqliy faoliyat turi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Murakkablik </w:t>
            </w:r>
            <w:r w:rsidRPr="0011126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darajasi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Ball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Defektologi-ya predmeti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 normasi. Rivojlanish anomaliyalari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Aqliy rivojlanishi-da nuqsoni bor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Nutqida nuqsoni bor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Tayanch-harakat a’zolarining funksiyasi buzilgan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E1A" w:rsidRPr="00011896" w:rsidRDefault="00011896" w:rsidP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Eshitishda nuqsoni bor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Ко‘rishda nuqsoni bor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Hissiy-irodaviy soha va xulq-atvor buzilishi bo‘lgan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 qilish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Ruhiy rivojlanishi kechikkan bolalar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Bilimni qo‘llash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1A" w:rsidTr="00011896"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Y1- 14</w:t>
            </w:r>
          </w:p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Y2 -6</w:t>
            </w:r>
          </w:p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Y3 -5</w:t>
            </w:r>
          </w:p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Y4 -5</w:t>
            </w:r>
          </w:p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5-5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widowControl w:val="0"/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“Z” 10</w:t>
            </w:r>
          </w:p>
          <w:p w:rsidR="00572E1A" w:rsidRDefault="00011896">
            <w:pPr>
              <w:widowControl w:val="0"/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“P” 20</w:t>
            </w:r>
          </w:p>
          <w:p w:rsidR="00572E1A" w:rsidRDefault="00011896">
            <w:pPr>
              <w:widowControl w:val="0"/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“R”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widowControl w:val="0"/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Default="00011896" w:rsidP="001112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Eslatma 3: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Tajribaviy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ilmiy asoslangan tahlillar natijalariga ko‘ra, yuqorida keltirilgan test ko‘rsatkichlariga (testlar soni, ularning turlari, baholanadigan aqliy faoliyat turi, testlarni yechish uchun ajratilgan vaqt, ballar, murakkablik darajasi) tegishli o‘zgartirishlar kiritilishi mumkin.</w:t>
      </w:r>
    </w:p>
    <w:p w:rsidR="00572E1A" w:rsidRDefault="00011896" w:rsidP="0011126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Defektologiya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bilim va ko‘nikmalarni baholash uchun test sinovlarining qismlarini solishtirish ko‘rsatkichlari.</w:t>
      </w:r>
    </w:p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875"/>
        <w:gridCol w:w="1335"/>
        <w:gridCol w:w="1185"/>
        <w:gridCol w:w="1155"/>
        <w:gridCol w:w="1485"/>
        <w:gridCol w:w="1695"/>
      </w:tblGrid>
      <w:tr w:rsidR="00572E1A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 sinovlari qismlari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Qamrab olingan bo‘limlar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Testlar soni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Ballar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11126B">
            <w:pPr>
              <w:spacing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Murakkablik darajasi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 aqliy faoliyat turi</w:t>
            </w:r>
          </w:p>
        </w:tc>
      </w:tr>
      <w:tr w:rsidR="00572E1A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Pedagog-defektologlar-ning tayyorgarlik darajasini baholash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I-IX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26B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I-3, </w:t>
            </w:r>
          </w:p>
          <w:p w:rsidR="0011126B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II-20, </w:t>
            </w:r>
          </w:p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III-7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 – 10, Bilimni qo‘llash – 20, Tahlil qilish – 5</w:t>
            </w:r>
          </w:p>
        </w:tc>
      </w:tr>
    </w:tbl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Pr="00011896" w:rsidRDefault="00FC629C" w:rsidP="0011126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.  Defektologiya fanining mazmun elementlarini kodifikatsiyasi.</w:t>
      </w:r>
    </w:p>
    <w:p w:rsidR="00572E1A" w:rsidRDefault="00011896" w:rsidP="001112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Pedagogik kadrlarning defektologiya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bilim darajasini baholash maqsadida test topshiriqlarini yaratish uchun defektologiya fanining mazmun elementlarini kodifikatsiyasi defektologiya kursining o‘quv dasturi asosida tuzilgan.</w:t>
      </w:r>
    </w:p>
    <w:p w:rsidR="00572E1A" w:rsidRDefault="00011896" w:rsidP="001112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Defektologiya fanining mazmun elementlarini kodifikatsiyasi o‘quv dasturida belgilangan barcha mazmun elementlari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malaka talablarini qamrab oladi.</w:t>
      </w:r>
    </w:p>
    <w:p w:rsidR="00572E1A" w:rsidRDefault="00011896" w:rsidP="001112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Jadvalning birinchi ustunida defektologiya fanining mazmun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bo‘limlari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kodi, ikkinchi ustunida – mazmun elementlari kodi, uchinchi ustunida – attestatsiya testida baholanadigan mazmun elementlari keltirilgan.</w:t>
      </w:r>
    </w:p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26B" w:rsidRDefault="001112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26B" w:rsidRDefault="0011126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276"/>
        <w:gridCol w:w="7655"/>
      </w:tblGrid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Kod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 element kodi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Testda baholanadigan mazmun elementi</w:t>
            </w:r>
          </w:p>
        </w:tc>
      </w:tr>
      <w:tr w:rsidR="00011896" w:rsidTr="003A5410">
        <w:trPr>
          <w:trHeight w:val="359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DEFEKTOLOGIYA PREDMETI</w:t>
            </w:r>
          </w:p>
        </w:tc>
      </w:tr>
      <w:tr w:rsidR="00011896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Pedagogika fanlari tizimidagi defektologiya. Maxsus psixologiya va maxsus pedagogika uchun defektologiyaning ahamiyati.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Defektologiyaning ta’rifi, predmeti, vazifalari, tamoyillari, asosiy kategoriyalari.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Maxsus pedagogika (surdopedagogika, tiflopedagogika, oligofrenopedagogika va logopediya) va maxsus psixologiya (surdopsixologiya, tiflopsixologiya, oligofren</w:t>
            </w:r>
            <w:r w:rsidR="005568EC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psixologiya va logopsixologiya), ruhiy rivojlanishi kechikkan bolalar pedagogikasi va psixologiyasi, tayanch-harakat a’zolarining funksiyasi buzilgan bolalar pedagogikasi va psixologiyasi.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Defektologiyaning qo‘shni fanlar – pedagogika, yosh psixologiyasi, patopsixologiya, bolalar psixiatriyasi, korreksion pedagogika bilan aloqasi. Defektologiyada tadqiqot usullari.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RIVOJLANISH NORMASI. RIVOJLANISH ANOMALIYALARI</w:t>
            </w:r>
          </w:p>
        </w:tc>
      </w:tr>
      <w:tr w:rsidR="00011896" w:rsidTr="003A5410">
        <w:trPr>
          <w:trHeight w:val="121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 normalari tushunchasi va turlari.</w:t>
            </w:r>
          </w:p>
        </w:tc>
      </w:tr>
      <w:tr w:rsidR="00572E1A" w:rsidTr="003A5410">
        <w:trPr>
          <w:trHeight w:val="157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“Anomal bolalar” tushunchasi.</w:t>
            </w:r>
          </w:p>
        </w:tc>
      </w:tr>
      <w:tr w:rsidR="00572E1A" w:rsidTr="003A5410">
        <w:trPr>
          <w:trHeight w:val="18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Anomal rivojlanishning xususiyatlari.</w:t>
            </w:r>
          </w:p>
        </w:tc>
      </w:tr>
      <w:tr w:rsidR="00572E1A" w:rsidTr="003A5410">
        <w:trPr>
          <w:trHeight w:val="201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Anomal rivojlanishning sabablari.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AQLIY RIVOJLANISHIDA NUQSONI BOR BOLALAR</w:t>
            </w:r>
          </w:p>
        </w:tc>
      </w:tr>
      <w:tr w:rsidR="00572E1A" w:rsidTr="003A5410">
        <w:trPr>
          <w:trHeight w:val="245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Aqliy zaiflikning tasnifi.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Aqliy rivojlanishi buzilgan bolalarning psixologik-pedagogik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Aqliy zaif bolalarning bilish sohasining rivojlanish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Turli yosh davrlarida aqliy rivojlanishida nuqsoni bor shaxslarni o‘qitish va tarbiyalash.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NUTQIDA NUQSONI BOR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Logopediyaning predmeti, vazifalari, asosiy tamoyillari.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5568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Nutq nuqsonlarining sabablari, ularning tasnifi. Nutq nuqsoni bo‘lgan bolalarning klinik-psixologik-pedagogik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Fonetik, melodik-intonatsion, temp-ritmik nutq buzilishlari. Yozuv va o‘qish buzilishlari.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Logopedik yordamning asosiy turlari.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Nutqi buzilgan bolalarni o‘qitish va tarbiyalashning xususiyatlari.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TAYANCH-HARAKAT A’ZOLARINING FUNKSIYASI BUZILGAN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BSFning umumiy xususiyatlari. BSFda harakat buzilishining tuzilishi.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 buzilishlarining og‘irlik darajasi bo‘yicha tasnifi. Tayanch-harakat a’zolarining funksiyasi buzilgan bolalarga ko‘rsatiladigan yordamning asosiy turlari. Tayanch-harakat a’zolarining funksiyasi buzilgan bolalarni o‘qitish va tarbiyalashning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BSF bolalarning shaxsiyati va hissiy-iroda sohasining rivojlanish xususiyatlari. BSF bolalarning bilish sohasining rivojlanish xususiyatlari.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ESHITISHDA NUQSONI BOR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Surdopedagogikaning predmeti va vazifalari.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Eshitishda nuqsoni bor bolalar</w:t>
            </w:r>
            <w:r w:rsidR="003A5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sabablari, ularning tasnifi. Eshitishda nuqsoni bor bolalarning asosiy kategoriyalari.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Eshitishda nuqsoni bor bolalarning bilish jarayonlarining rivojlanish xususiyatlari, shaxsiy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Eshitishda nuqsoni bor bolalar bilan korreksion-pedagogik ishning xususiyatlari.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КО‘RISHDA NUQSONI BOR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Tiflopedagogikaning predmeti va vazifalari.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Ко‘rishda nuqsoni bor bolalar turlari.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Ко‘rishda nuqsoni sabablari va oqibatlari.shakllanish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Ко‘rishda nuqsoni bor bolalarda shaxsning shakllanish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Ко‘rishda nuqsoni bor bolalarni korreksion o‘qitish va tarbiyalash.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HISSIY-IRODAVIY SOHA VA XULQ-ATVOR BUZILISHI BO‘LGAN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Bolalik autizmi sindromi bo‘lgan bolalarning xususiyatlari. Bolalik autizmi bo‘lgan bolalar psixologiyasining predmeti va vazifalari.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 sohasining rivojlanish xususiyatlari. Shaxs v</w:t>
            </w:r>
            <w:r w:rsidR="005568EC">
              <w:rPr>
                <w:rFonts w:ascii="Times New Roman" w:eastAsia="Times New Roman" w:hAnsi="Times New Roman" w:cs="Times New Roman"/>
                <w:sz w:val="28"/>
                <w:szCs w:val="28"/>
              </w:rPr>
              <w:t>a hissiy-iroda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viy sohaning rivojlanish xususiyatlari. Faoliyatning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Bolalik autizmi diagnostikasi va korreksiyasi.</w:t>
            </w:r>
          </w:p>
        </w:tc>
      </w:tr>
      <w:tr w:rsidR="00011896" w:rsidTr="00011896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011896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896" w:rsidRDefault="003A5410" w:rsidP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RUHIY RIVOJLANISHI KECHIKKAN BOLALAR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Pr="00011896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96">
              <w:rPr>
                <w:rFonts w:ascii="Times New Roman" w:eastAsia="Times New Roman" w:hAnsi="Times New Roman" w:cs="Times New Roman"/>
                <w:sz w:val="28"/>
                <w:szCs w:val="28"/>
              </w:rPr>
              <w:t>Ruhiy rivojlanishi kechikkan bolalarning xususiyatlari.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3A5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Ruhiy rivojlanishi kechikkan bolalarni korreksion o‘qitish va tarbiyalash.</w:t>
            </w:r>
          </w:p>
        </w:tc>
      </w:tr>
      <w:tr w:rsidR="00572E1A" w:rsidTr="00DE0FB8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57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E1A" w:rsidRDefault="00011896" w:rsidP="00CA28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 sohasining rivojlanish xususiyatlari. Shaxs va hissiy-</w:t>
            </w:r>
            <w:r w:rsidR="00CA287D">
              <w:rPr>
                <w:rFonts w:ascii="Times New Roman" w:eastAsia="Times New Roman" w:hAnsi="Times New Roman" w:cs="Times New Roman"/>
                <w:sz w:val="28"/>
                <w:szCs w:val="28"/>
              </w:rPr>
              <w:t>irodav</w:t>
            </w:r>
            <w:bookmarkStart w:id="0" w:name="_GoBack"/>
            <w:bookmarkEnd w:id="0"/>
            <w:r w:rsidR="005568EC">
              <w:rPr>
                <w:rFonts w:ascii="Times New Roman" w:eastAsia="Times New Roman" w:hAnsi="Times New Roman" w:cs="Times New Roman"/>
                <w:sz w:val="28"/>
                <w:szCs w:val="28"/>
              </w:rPr>
              <w:t>iy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sohaning rivojlanish xususiyatlari. Faoliyatning xususiyatlari.</w:t>
            </w:r>
          </w:p>
        </w:tc>
      </w:tr>
    </w:tbl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Default="00FC629C" w:rsidP="003A54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. Defektologiya bo</w:t>
      </w:r>
      <w:proofErr w:type="gramEnd"/>
      <w:r w:rsidR="00011896">
        <w:rPr>
          <w:rFonts w:ascii="Times New Roman" w:eastAsia="Times New Roman" w:hAnsi="Times New Roman" w:cs="Times New Roman"/>
          <w:b/>
          <w:sz w:val="28"/>
          <w:szCs w:val="28"/>
        </w:rPr>
        <w:t>‘yicha pedagogik kadrlarning bilim darajasini aniqlash uchun test topshiriqlarini baholash mezonlari.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Har bir test turi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baholash mezonlari har xil bo‘lib, quyidagicha belgilanadi: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Har bir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javob uchun – 2 ball;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Har bir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noto‘g‘ri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javob uchun – 0 ball.</w:t>
      </w:r>
    </w:p>
    <w:p w:rsidR="00DE0FB8" w:rsidRPr="00DE0FB8" w:rsidRDefault="00DE0F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2E1A" w:rsidRPr="00DE0FB8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Testga tayyorgarlik uchun tavsiya etilgan adabiyotlar: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Oligofrenopedagogika. Oligofrenopedagogikaning asoslari: o‘quv qo‘llanma V.M.Mozgovoy, I.M.Yakovleva, A.A.Eremina. – M.: “Akademiya” nashriyot markazi, 2006.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Maxs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us pedagogika: o‘quv qo‘llanma.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L.R.Muminova. – Toshkent: Noshir, 2012. – 128 bet.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Logopediy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aning asoslari: O‘quv qo‘llanma.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T.B.Filicheva, N.A.Cheveleva, G.V.Chirkina. – M.: Ma’rifat, 1989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Maxsus pedagogika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korreksion psi</w:t>
      </w:r>
      <w:r w:rsidR="005568EC">
        <w:rPr>
          <w:rFonts w:ascii="Times New Roman" w:eastAsia="Times New Roman" w:hAnsi="Times New Roman" w:cs="Times New Roman"/>
          <w:sz w:val="28"/>
          <w:szCs w:val="28"/>
        </w:rPr>
        <w:t>xologiya: o‘quv-uslubiy majmua.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T.G.Neretina. – M.: Fli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nta, 2008.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Pedagogika oliy o‘quv yurtlarining defektologiya fakultet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 xml:space="preserve">lari talabalari uchun darslik. </w:t>
      </w:r>
      <w:r>
        <w:rPr>
          <w:rFonts w:ascii="Times New Roman" w:eastAsia="Times New Roman" w:hAnsi="Times New Roman" w:cs="Times New Roman"/>
          <w:sz w:val="28"/>
          <w:szCs w:val="28"/>
        </w:rPr>
        <w:t>L.S.Volkova, S.N.Shaxovskaya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. – M.: Vlados, 2003.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Max</w:t>
      </w:r>
      <w:r w:rsidR="005568EC">
        <w:rPr>
          <w:rFonts w:ascii="Times New Roman" w:eastAsia="Times New Roman" w:hAnsi="Times New Roman" w:cs="Times New Roman"/>
          <w:sz w:val="28"/>
          <w:szCs w:val="28"/>
        </w:rPr>
        <w:t>sus pedagogika: O‘quv qo‘llanma.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N.M.Nazarova, L.I.Aksenova, B.A.Arxipov, L.I.Belyakova. – M.: “Akad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emiya” nashriyot markazi, 2005.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2 yoshdan 7 yoshgacha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maxsus ehtiyojli bolalar uchu</w:t>
      </w:r>
      <w:r w:rsidR="005568EC">
        <w:rPr>
          <w:rFonts w:ascii="Times New Roman" w:eastAsia="Times New Roman" w:hAnsi="Times New Roman" w:cs="Times New Roman"/>
          <w:sz w:val="28"/>
          <w:szCs w:val="28"/>
        </w:rPr>
        <w:t>n moslashtirilgan o‘quv dasturi.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I.V.Grosheva, E.N.Nazarova, E.A.Nekrasova, E.F.Tsay, B.P.Abdullayeva, U.T.Muxitdinova. – Toshkent, 2019.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O‘zbekiston Respublik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asi Vazirlar Mahkamasining 2019-yil 13-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maydagi 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391-sonli qarori. Maktabgacha ta’lim tashkilotlari faoliyatini yanada takomillashtirish chora-tadbirlari to‘g‘risida.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Logopediya: Pedagogika oliy o‘quv yurtlari “Defektologiya” m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utaxassisligi talabalari uchun.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M.Yu.Ayupova, L.R.Muminova, G.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V.Chirkina. – Toshkent, 2011.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Ped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agog-defektologning ish kitobi.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T.O.Epifantsev. – Rostov-na-Donu: Feniks, 2007.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Defektologiya. Maxsus pedagogika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maxsus psixologiya / V.P.Gluxov. – M.: MPGU, 2017. – ISBN 978-5-4263-0575-5.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Defektologiya. Lug‘at-qo‘llanma.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S.S.Stepanov. – M.: “Muallif”, 2004.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Maktabgacha oligofrenopedagogika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A.A.Kataeva, E.A.Strebele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va. – M.: Vlados, 2005.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Logopediya jadvalla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r, sxemalar, raqamlar shaklida.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T.V.Pyatnitsa. – Rostov-na-Donu: Feniks, 2018. 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Ko‘rish qobiliyati buzilgan maktabgacha yoshdagi bolalarni o‘qitish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rivojlanishini korreksiyalash: Uslubiy qo‘llanma</w:t>
      </w:r>
      <w:r w:rsidR="005568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L.M.Shipitsina. – Sankt-Peterburg: Ma’rifat, 1995.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16. Tayanch-harakat a’zolarining funksiyasi buz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ilgan bolalar. O‘quv qo‘llanma.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A.V.Krotkova, V.V.Satari. – M.: Ma’rifat, 2023.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Hissiy-irodaviy soha buzilishi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bolalarga psixolog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ik-pedagogik yordam ko‘rsatish.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O.I.Kuznetsova, M.S.Staroverova. – 2020.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Ruhiy rivojlanishi kechikkan maktabgacha yoshdagi bo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 xml:space="preserve">lalarni tarbiyalash </w:t>
      </w:r>
      <w:proofErr w:type="gramStart"/>
      <w:r w:rsidR="003A541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="003A5410">
        <w:rPr>
          <w:rFonts w:ascii="Times New Roman" w:eastAsia="Times New Roman" w:hAnsi="Times New Roman" w:cs="Times New Roman"/>
          <w:sz w:val="28"/>
          <w:szCs w:val="28"/>
        </w:rPr>
        <w:t xml:space="preserve"> o‘qitish.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N.V.Miklyaeva. – M.: Yurayt, 2023.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Pedagogika institutlari talabalari uchun o‘quv qo‘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llanma.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V.A.Lapshin. – M.: Ma’rifat, 1991.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Rivojlanishida nuqsoni </w:t>
      </w:r>
      <w:proofErr w:type="gramStart"/>
      <w:r w:rsidR="003A5410"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gramEnd"/>
      <w:r w:rsidR="003A5410">
        <w:rPr>
          <w:rFonts w:ascii="Times New Roman" w:eastAsia="Times New Roman" w:hAnsi="Times New Roman" w:cs="Times New Roman"/>
          <w:sz w:val="28"/>
          <w:szCs w:val="28"/>
        </w:rPr>
        <w:t xml:space="preserve"> bolalarni diagnostikasi.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D.A.Nurkeldiyeva, M.U.Hamidov. – Toshkent, 2016.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Def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ektologiyaning klinik asoslari.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M.R.Po‘latxo‘jayeva. – Toshkent, 2013.</w:t>
      </w:r>
    </w:p>
    <w:p w:rsidR="00572E1A" w:rsidRDefault="00011896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22. Maxsus pedagogika (kasb-h</w:t>
      </w:r>
      <w:r w:rsidR="003A5410">
        <w:rPr>
          <w:rFonts w:ascii="Times New Roman" w:eastAsia="Times New Roman" w:hAnsi="Times New Roman" w:cs="Times New Roman"/>
          <w:sz w:val="28"/>
          <w:szCs w:val="28"/>
        </w:rPr>
        <w:t>unar kollejlari uchun darslik).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L.Muminova, M.Ayupova, D.Nurkeldiyeva, X.Kalbayeva. – Toshkent, 2016.</w:t>
      </w:r>
    </w:p>
    <w:p w:rsidR="00572E1A" w:rsidRDefault="003A5410" w:rsidP="003A54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Logopediya.</w:t>
      </w:r>
      <w:r w:rsidR="00011896">
        <w:rPr>
          <w:rFonts w:ascii="Times New Roman" w:eastAsia="Times New Roman" w:hAnsi="Times New Roman" w:cs="Times New Roman"/>
          <w:sz w:val="28"/>
          <w:szCs w:val="28"/>
        </w:rPr>
        <w:t xml:space="preserve"> M.Yu.Ayupova. – Toshkent, 2011.</w:t>
      </w:r>
    </w:p>
    <w:p w:rsidR="00572E1A" w:rsidRDefault="00572E1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72E1A" w:rsidSect="0011126B">
      <w:pgSz w:w="12240" w:h="15840"/>
      <w:pgMar w:top="709" w:right="900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1A"/>
    <w:rsid w:val="00011896"/>
    <w:rsid w:val="0011126B"/>
    <w:rsid w:val="003A5410"/>
    <w:rsid w:val="005568EC"/>
    <w:rsid w:val="00572E1A"/>
    <w:rsid w:val="00CA287D"/>
    <w:rsid w:val="00DE0FB8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463E"/>
  <w15:docId w15:val="{AF37420C-894D-4544-88A5-5388C1F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B056B7-FDF0-4EA6-B5C5-E6A152885E05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bPeIUPgJOhshMjXS3tTS9Tg5A==">CgMxLjAyCGguZ2pkZ3hzOAByITFiR0tfb0hsTEdLS1RFSU9WcHJIYjIxTERLSXU3bjl2Wg==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Maqsud Haydarov</dc:creator>
  <cp:lastModifiedBy>Пользователь Windows</cp:lastModifiedBy>
  <cp:revision>3</cp:revision>
  <dcterms:created xsi:type="dcterms:W3CDTF">2025-01-29T06:46:00Z</dcterms:created>
  <dcterms:modified xsi:type="dcterms:W3CDTF">2025-01-29T06:47:00Z</dcterms:modified>
</cp:coreProperties>
</file>